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63515" w14:textId="43E59308" w:rsidR="0090408F" w:rsidRDefault="00FE40AF" w:rsidP="00F53D26">
      <w:pPr>
        <w:jc w:val="center"/>
      </w:pPr>
      <w:r w:rsidRPr="00FE40AF">
        <w:rPr>
          <w:noProof/>
        </w:rPr>
        <w:drawing>
          <wp:inline distT="0" distB="0" distL="0" distR="0" wp14:anchorId="30020004" wp14:editId="5D7B5115">
            <wp:extent cx="2474518" cy="2019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1989" cy="2033557"/>
                    </a:xfrm>
                    <a:prstGeom prst="rect">
                      <a:avLst/>
                    </a:prstGeom>
                    <a:noFill/>
                    <a:ln>
                      <a:noFill/>
                    </a:ln>
                  </pic:spPr>
                </pic:pic>
              </a:graphicData>
            </a:graphic>
          </wp:inline>
        </w:drawing>
      </w:r>
    </w:p>
    <w:p w14:paraId="7833EECE" w14:textId="577689CF" w:rsidR="00F53D26" w:rsidRPr="006F7B25" w:rsidRDefault="0090408F" w:rsidP="006F7B25">
      <w:pPr>
        <w:pStyle w:val="ListParagraph"/>
        <w:spacing w:line="216" w:lineRule="auto"/>
        <w:ind w:left="1166" w:firstLine="274"/>
        <w:rPr>
          <w:rFonts w:asciiTheme="minorHAnsi" w:eastAsiaTheme="minorEastAsia" w:hAnsiTheme="minorHAnsi" w:cstheme="minorHAnsi"/>
          <w:color w:val="000000" w:themeColor="text1"/>
          <w:kern w:val="24"/>
        </w:rPr>
      </w:pPr>
      <w:r w:rsidRPr="006F7B25">
        <w:rPr>
          <w:rFonts w:asciiTheme="minorHAnsi" w:hAnsiTheme="minorHAnsi" w:cstheme="minorHAnsi"/>
        </w:rPr>
        <w:t xml:space="preserve">The Dementia Care and Cure Initiative (DCCI) was introduced by Florida Department of Elder Affairs (DOEA) Secretary in August 2015. According to the Alzheimer’s Association, </w:t>
      </w:r>
      <w:r w:rsidRPr="0090408F">
        <w:rPr>
          <w:rFonts w:asciiTheme="minorHAnsi" w:eastAsiaTheme="minorEastAsia" w:hAnsiTheme="minorHAnsi" w:cstheme="minorHAnsi"/>
          <w:color w:val="000000" w:themeColor="text1"/>
          <w:kern w:val="24"/>
        </w:rPr>
        <w:t xml:space="preserve">Florida has the </w:t>
      </w:r>
      <w:r w:rsidRPr="0090408F">
        <w:rPr>
          <w:rFonts w:asciiTheme="minorHAnsi" w:eastAsiaTheme="minorEastAsia" w:hAnsiTheme="minorHAnsi" w:cstheme="minorHAnsi"/>
          <w:b/>
          <w:bCs/>
          <w:color w:val="000000" w:themeColor="text1"/>
          <w:kern w:val="24"/>
        </w:rPr>
        <w:t xml:space="preserve">second highest </w:t>
      </w:r>
      <w:r w:rsidRPr="0090408F">
        <w:rPr>
          <w:rFonts w:asciiTheme="minorHAnsi" w:eastAsiaTheme="minorEastAsia" w:hAnsiTheme="minorHAnsi" w:cstheme="minorHAnsi"/>
          <w:color w:val="000000" w:themeColor="text1"/>
          <w:kern w:val="24"/>
        </w:rPr>
        <w:t>incidence rate of Alzheimer’s Disease in the nation – only behind California.</w:t>
      </w:r>
      <w:r w:rsidR="00C35CDD" w:rsidRPr="006F7B25">
        <w:rPr>
          <w:rFonts w:asciiTheme="minorHAnsi" w:eastAsiaTheme="minorEastAsia" w:hAnsiTheme="minorHAnsi" w:cstheme="minorHAnsi"/>
          <w:color w:val="000000" w:themeColor="text1"/>
          <w:kern w:val="24"/>
        </w:rPr>
        <w:t xml:space="preserve">  </w:t>
      </w:r>
      <w:r w:rsidRPr="0090408F">
        <w:rPr>
          <w:rFonts w:asciiTheme="minorHAnsi" w:eastAsiaTheme="minorEastAsia" w:hAnsiTheme="minorHAnsi" w:cstheme="minorHAnsi"/>
          <w:color w:val="000000" w:themeColor="text1"/>
          <w:kern w:val="24"/>
        </w:rPr>
        <w:t xml:space="preserve">There are approximately </w:t>
      </w:r>
      <w:r w:rsidRPr="0090408F">
        <w:rPr>
          <w:rFonts w:asciiTheme="minorHAnsi" w:eastAsiaTheme="minorEastAsia" w:hAnsiTheme="minorHAnsi" w:cstheme="minorHAnsi"/>
          <w:b/>
          <w:bCs/>
          <w:color w:val="000000" w:themeColor="text1"/>
          <w:kern w:val="24"/>
        </w:rPr>
        <w:t>580,000</w:t>
      </w:r>
      <w:r w:rsidRPr="0090408F">
        <w:rPr>
          <w:rFonts w:asciiTheme="minorHAnsi" w:eastAsiaTheme="minorEastAsia" w:hAnsiTheme="minorHAnsi" w:cstheme="minorHAnsi"/>
          <w:color w:val="000000" w:themeColor="text1"/>
          <w:kern w:val="24"/>
        </w:rPr>
        <w:t xml:space="preserve"> individuals currently living with Alzheimer’s Disease in Florida</w:t>
      </w:r>
      <w:r w:rsidR="00C35CDD" w:rsidRPr="006F7B25">
        <w:rPr>
          <w:rFonts w:asciiTheme="minorHAnsi" w:eastAsiaTheme="minorEastAsia" w:hAnsiTheme="minorHAnsi" w:cstheme="minorHAnsi"/>
          <w:color w:val="000000" w:themeColor="text1"/>
          <w:kern w:val="24"/>
        </w:rPr>
        <w:t xml:space="preserve">.  </w:t>
      </w:r>
      <w:r w:rsidRPr="006F7B25">
        <w:rPr>
          <w:rFonts w:asciiTheme="minorHAnsi" w:eastAsiaTheme="minorEastAsia" w:hAnsiTheme="minorHAnsi" w:cstheme="minorHAnsi"/>
          <w:color w:val="000000" w:themeColor="text1"/>
          <w:kern w:val="24"/>
        </w:rPr>
        <w:t xml:space="preserve">By </w:t>
      </w:r>
      <w:r w:rsidRPr="006F7B25">
        <w:rPr>
          <w:rFonts w:asciiTheme="minorHAnsi" w:eastAsiaTheme="minorEastAsia" w:hAnsiTheme="minorHAnsi" w:cstheme="minorHAnsi"/>
          <w:b/>
          <w:bCs/>
          <w:color w:val="000000" w:themeColor="text1"/>
          <w:kern w:val="24"/>
        </w:rPr>
        <w:t>2025</w:t>
      </w:r>
      <w:r w:rsidRPr="006F7B25">
        <w:rPr>
          <w:rFonts w:asciiTheme="minorHAnsi" w:eastAsiaTheme="minorEastAsia" w:hAnsiTheme="minorHAnsi" w:cstheme="minorHAnsi"/>
          <w:color w:val="000000" w:themeColor="text1"/>
          <w:kern w:val="24"/>
        </w:rPr>
        <w:t xml:space="preserve">, it is estimated </w:t>
      </w:r>
      <w:r w:rsidRPr="006F7B25">
        <w:rPr>
          <w:rFonts w:asciiTheme="minorHAnsi" w:eastAsiaTheme="minorEastAsia" w:hAnsiTheme="minorHAnsi" w:cstheme="minorHAnsi"/>
          <w:b/>
          <w:bCs/>
          <w:color w:val="000000" w:themeColor="text1"/>
          <w:kern w:val="24"/>
        </w:rPr>
        <w:t>720,000</w:t>
      </w:r>
      <w:r w:rsidRPr="006F7B25">
        <w:rPr>
          <w:rFonts w:asciiTheme="minorHAnsi" w:eastAsiaTheme="minorEastAsia" w:hAnsiTheme="minorHAnsi" w:cstheme="minorHAnsi"/>
          <w:color w:val="000000" w:themeColor="text1"/>
          <w:kern w:val="24"/>
        </w:rPr>
        <w:t xml:space="preserve"> individuals will be living with Alzheimer’s disease in Florida</w:t>
      </w:r>
      <w:r w:rsidR="00C35CDD" w:rsidRPr="006F7B25">
        <w:rPr>
          <w:rFonts w:asciiTheme="minorHAnsi" w:eastAsiaTheme="minorEastAsia" w:hAnsiTheme="minorHAnsi" w:cstheme="minorHAnsi"/>
          <w:color w:val="000000" w:themeColor="text1"/>
          <w:kern w:val="24"/>
        </w:rPr>
        <w:t>.</w:t>
      </w:r>
    </w:p>
    <w:p w14:paraId="7991BF02" w14:textId="6759B6BF" w:rsidR="006F7B25" w:rsidRPr="006F7B25" w:rsidRDefault="006F7B25" w:rsidP="006F7B25">
      <w:pPr>
        <w:pStyle w:val="ListParagraph"/>
        <w:spacing w:line="216" w:lineRule="auto"/>
        <w:ind w:left="1166" w:firstLine="274"/>
        <w:rPr>
          <w:rFonts w:asciiTheme="minorHAnsi" w:eastAsiaTheme="minorEastAsia" w:hAnsiTheme="minorHAnsi" w:cstheme="minorHAnsi"/>
          <w:color w:val="000000" w:themeColor="text1"/>
          <w:kern w:val="24"/>
        </w:rPr>
      </w:pPr>
    </w:p>
    <w:p w14:paraId="3DAA2429" w14:textId="0D8B481C" w:rsidR="006F7B25" w:rsidRDefault="00F53D26" w:rsidP="00F53D26">
      <w:pPr>
        <w:pStyle w:val="ListParagraph"/>
        <w:spacing w:line="216" w:lineRule="auto"/>
        <w:ind w:left="1166"/>
        <w:jc w:val="center"/>
        <w:rPr>
          <w:rFonts w:asciiTheme="minorHAnsi" w:eastAsiaTheme="minorEastAsia" w:hAnsiTheme="minorHAnsi" w:cstheme="minorHAnsi"/>
          <w:color w:val="000000" w:themeColor="text1"/>
          <w:kern w:val="24"/>
          <w:sz w:val="32"/>
          <w:szCs w:val="32"/>
        </w:rPr>
      </w:pPr>
      <w:r>
        <w:rPr>
          <w:noProof/>
        </w:rPr>
        <w:drawing>
          <wp:inline distT="0" distB="0" distL="0" distR="0" wp14:anchorId="5287C9EF" wp14:editId="36C59DA8">
            <wp:extent cx="2779664" cy="2406368"/>
            <wp:effectExtent l="0" t="0" r="1905" b="0"/>
            <wp:docPr id="5" name="Picture 4" descr="A close up of a map&#10;&#10;Description automatically generated">
              <a:extLst xmlns:a="http://schemas.openxmlformats.org/drawingml/2006/main">
                <a:ext uri="{FF2B5EF4-FFF2-40B4-BE49-F238E27FC236}">
                  <a16:creationId xmlns:a16="http://schemas.microsoft.com/office/drawing/2014/main" id="{9A1AC493-08E3-4C3E-A3C7-17C73E421E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map&#10;&#10;Description automatically generated">
                      <a:extLst>
                        <a:ext uri="{FF2B5EF4-FFF2-40B4-BE49-F238E27FC236}">
                          <a16:creationId xmlns:a16="http://schemas.microsoft.com/office/drawing/2014/main" id="{9A1AC493-08E3-4C3E-A3C7-17C73E421E4E}"/>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4052" cy="2444795"/>
                    </a:xfrm>
                    <a:prstGeom prst="rect">
                      <a:avLst/>
                    </a:prstGeom>
                  </pic:spPr>
                </pic:pic>
              </a:graphicData>
            </a:graphic>
          </wp:inline>
        </w:drawing>
      </w:r>
    </w:p>
    <w:p w14:paraId="74CDD0E9" w14:textId="05922EC4" w:rsidR="00C35CDD" w:rsidRPr="0043602F" w:rsidRDefault="00C35CDD" w:rsidP="006F7B25">
      <w:pPr>
        <w:pStyle w:val="ListParagraph"/>
        <w:spacing w:line="216" w:lineRule="auto"/>
        <w:ind w:left="1166" w:firstLine="274"/>
        <w:rPr>
          <w:rFonts w:asciiTheme="minorHAnsi" w:eastAsiaTheme="minorEastAsia" w:hAnsiTheme="minorHAnsi" w:cstheme="minorHAnsi"/>
          <w:color w:val="000000" w:themeColor="text1"/>
          <w:kern w:val="24"/>
        </w:rPr>
      </w:pPr>
      <w:r w:rsidRPr="0043602F">
        <w:rPr>
          <w:rFonts w:asciiTheme="minorHAnsi" w:eastAsiaTheme="minorEastAsia" w:hAnsiTheme="minorHAnsi" w:cstheme="minorHAnsi"/>
          <w:color w:val="000000" w:themeColor="text1"/>
          <w:kern w:val="24"/>
        </w:rPr>
        <w:t>Florida seeks to lead the nation in response to the increasing incidence of dementia by implementing a statewide effort to become more dementia caring-acting to support those diagnosed with dementia, their families, and their caregivers-bettering communities and the state overall.  The promotion of compassionate awareness for Floridians affected by dementia through DCCI is one of Governor Ron DeSantis’ assigned goals for DOEA.</w:t>
      </w:r>
    </w:p>
    <w:p w14:paraId="39010991" w14:textId="77777777" w:rsidR="0043602F" w:rsidRDefault="0043602F" w:rsidP="006F7B25">
      <w:pPr>
        <w:jc w:val="center"/>
        <w:rPr>
          <w:b/>
          <w:bCs/>
          <w:color w:val="7030A0"/>
        </w:rPr>
      </w:pPr>
    </w:p>
    <w:p w14:paraId="0F2FF178" w14:textId="312379B6" w:rsidR="006F7B25" w:rsidRPr="006F7B25" w:rsidRDefault="006F7B25" w:rsidP="006F7B25">
      <w:pPr>
        <w:jc w:val="center"/>
        <w:rPr>
          <w:b/>
          <w:bCs/>
          <w:color w:val="7030A0"/>
        </w:rPr>
      </w:pPr>
      <w:r w:rsidRPr="006F7B25">
        <w:rPr>
          <w:b/>
          <w:bCs/>
          <w:color w:val="7030A0"/>
        </w:rPr>
        <w:t>TASK FORCES</w:t>
      </w:r>
    </w:p>
    <w:p w14:paraId="5FC6A78C" w14:textId="77777777" w:rsidR="00994251" w:rsidRDefault="006F7B25" w:rsidP="00994251">
      <w:pPr>
        <w:pStyle w:val="NoSpacing"/>
        <w:ind w:left="720" w:firstLine="720"/>
      </w:pPr>
      <w:r w:rsidRPr="006F7B25">
        <w:t>Each DCCI is represented by a voluntary Task Force. Membership is open</w:t>
      </w:r>
      <w:r w:rsidR="00994251">
        <w:t xml:space="preserve"> </w:t>
      </w:r>
      <w:r w:rsidRPr="006F7B25">
        <w:t xml:space="preserve">to anyone who wishes to assist </w:t>
      </w:r>
      <w:r w:rsidR="00994251">
        <w:t xml:space="preserve">  </w:t>
      </w:r>
    </w:p>
    <w:p w14:paraId="3C2FE83A" w14:textId="77777777" w:rsidR="00994251" w:rsidRDefault="00994251" w:rsidP="006F7B25">
      <w:pPr>
        <w:pStyle w:val="NoSpacing"/>
      </w:pPr>
      <w:r>
        <w:t xml:space="preserve">                       </w:t>
      </w:r>
      <w:r w:rsidR="006F7B25" w:rsidRPr="006F7B25">
        <w:t xml:space="preserve">in the dedication of their community to become Dementia Caring. </w:t>
      </w:r>
      <w:r>
        <w:t xml:space="preserve"> </w:t>
      </w:r>
      <w:r w:rsidR="006F7B25" w:rsidRPr="006F7B25">
        <w:t xml:space="preserve">Each Task Force is led by “pillars”. The </w:t>
      </w:r>
      <w:r>
        <w:t xml:space="preserve">  </w:t>
      </w:r>
    </w:p>
    <w:p w14:paraId="043CB4F2" w14:textId="507E7B88" w:rsidR="00994251" w:rsidRDefault="00994251" w:rsidP="006F7B25">
      <w:pPr>
        <w:pStyle w:val="NoSpacing"/>
      </w:pPr>
      <w:r>
        <w:t xml:space="preserve">                       </w:t>
      </w:r>
      <w:r w:rsidR="006F7B25" w:rsidRPr="006F7B25">
        <w:t>“pillars” are the area’s Memory Disorder Clinic Coordinator and the</w:t>
      </w:r>
      <w:r w:rsidR="006F7B25">
        <w:t xml:space="preserve"> </w:t>
      </w:r>
      <w:r w:rsidR="006F7B25" w:rsidRPr="006F7B25">
        <w:t xml:space="preserve">Area Agency on Aging Director of </w:t>
      </w:r>
    </w:p>
    <w:p w14:paraId="08CABDCF" w14:textId="0EB96BFB" w:rsidR="00994251" w:rsidRDefault="00994251" w:rsidP="006F7B25">
      <w:pPr>
        <w:pStyle w:val="NoSpacing"/>
      </w:pPr>
      <w:r>
        <w:t xml:space="preserve">                       </w:t>
      </w:r>
      <w:r w:rsidR="006F7B25" w:rsidRPr="006F7B25">
        <w:t>Outreach.  The Task Force is responsible for initiating contacts, assisting in</w:t>
      </w:r>
      <w:r>
        <w:t xml:space="preserve"> </w:t>
      </w:r>
      <w:r w:rsidR="006F7B25" w:rsidRPr="006F7B25">
        <w:t xml:space="preserve">the marketing and outreach of </w:t>
      </w:r>
      <w:r>
        <w:t xml:space="preserve">    </w:t>
      </w:r>
    </w:p>
    <w:p w14:paraId="7277311B" w14:textId="77777777" w:rsidR="00994251" w:rsidRDefault="00994251" w:rsidP="006F7B25">
      <w:pPr>
        <w:pStyle w:val="NoSpacing"/>
      </w:pPr>
      <w:r>
        <w:t xml:space="preserve">                       </w:t>
      </w:r>
      <w:r w:rsidR="006F7B25" w:rsidRPr="006F7B25">
        <w:t xml:space="preserve">the initiative and providing awareness presentations in their community.  Task Force members can also </w:t>
      </w:r>
    </w:p>
    <w:p w14:paraId="7962615B" w14:textId="77777777" w:rsidR="00994251" w:rsidRDefault="00994251" w:rsidP="006F7B25">
      <w:pPr>
        <w:pStyle w:val="NoSpacing"/>
      </w:pPr>
      <w:r>
        <w:t xml:space="preserve">                       </w:t>
      </w:r>
      <w:r w:rsidR="006F7B25" w:rsidRPr="006F7B25">
        <w:t xml:space="preserve">attend outreach events to promote DCCI and local resources, provide advocacy by working with local </w:t>
      </w:r>
    </w:p>
    <w:p w14:paraId="26FBE985" w14:textId="77777777" w:rsidR="00994251" w:rsidRDefault="00994251" w:rsidP="006F7B25">
      <w:pPr>
        <w:pStyle w:val="NoSpacing"/>
      </w:pPr>
      <w:r>
        <w:t xml:space="preserve">                       </w:t>
      </w:r>
      <w:r w:rsidR="006F7B25" w:rsidRPr="006F7B25">
        <w:t xml:space="preserve">elected officials, funders, and other civic organizations, or work to create and inventory of existing </w:t>
      </w:r>
    </w:p>
    <w:p w14:paraId="3AA9B889" w14:textId="1483AAA0" w:rsidR="00994251" w:rsidRDefault="00994251" w:rsidP="006F7B25">
      <w:pPr>
        <w:pStyle w:val="NoSpacing"/>
      </w:pPr>
      <w:r>
        <w:t xml:space="preserve">                       </w:t>
      </w:r>
      <w:r w:rsidR="006F7B25" w:rsidRPr="006F7B25">
        <w:t>resources in the community and assess the availability and accessibility of them.</w:t>
      </w:r>
      <w:r>
        <w:t xml:space="preserve">  T</w:t>
      </w:r>
      <w:r w:rsidR="006F7B25" w:rsidRPr="006F7B25">
        <w:t xml:space="preserve">ask Force members find </w:t>
      </w:r>
    </w:p>
    <w:p w14:paraId="1E227DA4" w14:textId="1A3573CD" w:rsidR="00994251" w:rsidRDefault="00994251" w:rsidP="006F7B25">
      <w:pPr>
        <w:pStyle w:val="NoSpacing"/>
      </w:pPr>
      <w:r>
        <w:t xml:space="preserve">                       </w:t>
      </w:r>
      <w:r w:rsidR="006F7B25" w:rsidRPr="006F7B25">
        <w:t xml:space="preserve">the initiative’s activities flow seamlessly with their existing work duties or outside community activities as </w:t>
      </w:r>
    </w:p>
    <w:p w14:paraId="3078E302" w14:textId="0FA83161" w:rsidR="00994251" w:rsidRDefault="00994251" w:rsidP="006F7B25">
      <w:pPr>
        <w:pStyle w:val="NoSpacing"/>
      </w:pPr>
      <w:r>
        <w:t xml:space="preserve">                       </w:t>
      </w:r>
      <w:r w:rsidR="006F7B25" w:rsidRPr="006F7B25">
        <w:t xml:space="preserve">DCCI can act as a supplement to the awareness, assistance, and advocacy duties they are already engaged </w:t>
      </w:r>
    </w:p>
    <w:p w14:paraId="19A0D84D" w14:textId="427B08AA" w:rsidR="00994251" w:rsidRDefault="00994251" w:rsidP="006F7B25">
      <w:pPr>
        <w:pStyle w:val="NoSpacing"/>
      </w:pPr>
      <w:r>
        <w:t xml:space="preserve">                       </w:t>
      </w:r>
      <w:r w:rsidR="006F7B25" w:rsidRPr="006F7B25">
        <w:t xml:space="preserve">in.  The Department of Elder Affairs aids and supports each community and assists in the state-wide </w:t>
      </w:r>
    </w:p>
    <w:p w14:paraId="7A8A8283" w14:textId="050844F7" w:rsidR="006F7B25" w:rsidRPr="006F7B25" w:rsidRDefault="00994251" w:rsidP="006F7B25">
      <w:pPr>
        <w:pStyle w:val="NoSpacing"/>
      </w:pPr>
      <w:r>
        <w:t xml:space="preserve">                       </w:t>
      </w:r>
      <w:r w:rsidR="006F7B25" w:rsidRPr="006F7B25">
        <w:t>recognition of DCCI.</w:t>
      </w:r>
    </w:p>
    <w:p w14:paraId="2EBDCCBC" w14:textId="77777777" w:rsidR="006F7B25" w:rsidRPr="006F7B25" w:rsidRDefault="006F7B25" w:rsidP="006F7B25">
      <w:pPr>
        <w:rPr>
          <w:b/>
          <w:bCs/>
          <w:color w:val="7030A0"/>
        </w:rPr>
      </w:pPr>
      <w:r w:rsidRPr="006F7B25">
        <w:rPr>
          <w:b/>
          <w:bCs/>
          <w:color w:val="7030A0"/>
        </w:rPr>
        <w:lastRenderedPageBreak/>
        <w:t xml:space="preserve"> </w:t>
      </w:r>
    </w:p>
    <w:p w14:paraId="4FF01E3E" w14:textId="77777777" w:rsidR="006F7B25" w:rsidRDefault="006F7B25" w:rsidP="00FE40AF">
      <w:pPr>
        <w:pStyle w:val="NormalWeb"/>
        <w:spacing w:before="200" w:beforeAutospacing="0" w:after="0" w:afterAutospacing="0" w:line="216" w:lineRule="auto"/>
        <w:jc w:val="center"/>
        <w:rPr>
          <w:noProof/>
        </w:rPr>
      </w:pPr>
    </w:p>
    <w:p w14:paraId="2B979023" w14:textId="70815C7D" w:rsidR="006F7B25" w:rsidRDefault="006F7B25" w:rsidP="00FE40AF">
      <w:pPr>
        <w:pStyle w:val="NormalWeb"/>
        <w:spacing w:before="200" w:beforeAutospacing="0" w:after="0" w:afterAutospacing="0" w:line="216" w:lineRule="auto"/>
        <w:jc w:val="center"/>
        <w:rPr>
          <w:noProof/>
        </w:rPr>
      </w:pPr>
    </w:p>
    <w:p w14:paraId="50C9EDF1" w14:textId="4C672231" w:rsidR="00FE40AF" w:rsidRDefault="00C35CDD" w:rsidP="00FE40AF">
      <w:pPr>
        <w:pStyle w:val="NormalWeb"/>
        <w:spacing w:before="200" w:beforeAutospacing="0" w:after="0" w:afterAutospacing="0" w:line="216" w:lineRule="auto"/>
        <w:jc w:val="center"/>
        <w:rPr>
          <w:sz w:val="40"/>
          <w:szCs w:val="40"/>
        </w:rPr>
      </w:pPr>
      <w:r>
        <w:rPr>
          <w:noProof/>
        </w:rPr>
        <w:drawing>
          <wp:inline distT="0" distB="0" distL="0" distR="0" wp14:anchorId="2F8347AB" wp14:editId="3905ED33">
            <wp:extent cx="6024010" cy="5573828"/>
            <wp:effectExtent l="0" t="0" r="0" b="8255"/>
            <wp:docPr id="3" name="Picture 2" descr="Updated Trajectory 2017.pdf - Adobe Acrobat Reader DC">
              <a:extLst xmlns:a="http://schemas.openxmlformats.org/drawingml/2006/main">
                <a:ext uri="{FF2B5EF4-FFF2-40B4-BE49-F238E27FC236}">
                  <a16:creationId xmlns:a16="http://schemas.microsoft.com/office/drawing/2014/main" id="{A4CB9F79-7A1E-4DC2-9A21-EC4A6C8AD3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Updated Trajectory 2017.pdf - Adobe Acrobat Reader DC">
                      <a:extLst>
                        <a:ext uri="{FF2B5EF4-FFF2-40B4-BE49-F238E27FC236}">
                          <a16:creationId xmlns:a16="http://schemas.microsoft.com/office/drawing/2014/main" id="{A4CB9F79-7A1E-4DC2-9A21-EC4A6C8AD36A}"/>
                        </a:ext>
                      </a:extLst>
                    </pic:cNvPr>
                    <pic:cNvPicPr>
                      <a:picLocks noChangeAspect="1"/>
                    </pic:cNvPicPr>
                  </pic:nvPicPr>
                  <pic:blipFill rotWithShape="1">
                    <a:blip r:embed="rId7">
                      <a:extLst>
                        <a:ext uri="{28A0092B-C50C-407E-A947-70E740481C1C}">
                          <a14:useLocalDpi xmlns:a14="http://schemas.microsoft.com/office/drawing/2010/main" val="0"/>
                        </a:ext>
                      </a:extLst>
                    </a:blip>
                    <a:srcRect l="23644" t="19753" r="27612" b="1424"/>
                    <a:stretch/>
                  </pic:blipFill>
                  <pic:spPr>
                    <a:xfrm>
                      <a:off x="0" y="0"/>
                      <a:ext cx="6278731" cy="5809513"/>
                    </a:xfrm>
                    <a:prstGeom prst="rect">
                      <a:avLst/>
                    </a:prstGeom>
                  </pic:spPr>
                </pic:pic>
              </a:graphicData>
            </a:graphic>
          </wp:inline>
        </w:drawing>
      </w:r>
    </w:p>
    <w:p w14:paraId="41F0D8A8" w14:textId="6DB8EEF7" w:rsidR="00C35CDD" w:rsidRPr="00C35CDD" w:rsidRDefault="00C35CDD" w:rsidP="00C35CDD">
      <w:pPr>
        <w:pStyle w:val="NormalWeb"/>
        <w:spacing w:before="200" w:beforeAutospacing="0" w:after="0" w:afterAutospacing="0" w:line="216" w:lineRule="auto"/>
      </w:pPr>
      <w:r>
        <w:rPr>
          <w:sz w:val="40"/>
          <w:szCs w:val="40"/>
        </w:rPr>
        <w:tab/>
      </w:r>
    </w:p>
    <w:p w14:paraId="6C1334A4" w14:textId="56B4259B" w:rsidR="00FE40AF" w:rsidRPr="00994251" w:rsidRDefault="00994251" w:rsidP="00994251">
      <w:pPr>
        <w:ind w:left="1125"/>
      </w:pPr>
      <w:r>
        <w:t xml:space="preserve">     </w:t>
      </w:r>
      <w:r w:rsidR="00C35CDD" w:rsidRPr="00994251">
        <w:t>The above image demonstrates the various sectors of the community where the mission and goals of DCCI can be shared. Awareness presentations provided to these different entities aim to share knowledge of dementia including the signs and symptoms; safe, respectful, and effective communication techniques to use with individuals living with dementia; and, an overview of the community resources that support individuals affected by the disease, including caregivers. DCCI aims to create aware and sensitive communities where individuals with dementia, their families, and their caregivers can access supportive services while also maintaining their active participation in their community.</w:t>
      </w:r>
    </w:p>
    <w:sectPr w:rsidR="00FE40AF" w:rsidRPr="00994251" w:rsidSect="006F7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E0086"/>
    <w:multiLevelType w:val="hybridMultilevel"/>
    <w:tmpl w:val="73F86C5A"/>
    <w:lvl w:ilvl="0" w:tplc="24121F10">
      <w:start w:val="1"/>
      <w:numFmt w:val="bullet"/>
      <w:lvlText w:val="•"/>
      <w:lvlJc w:val="left"/>
      <w:pPr>
        <w:tabs>
          <w:tab w:val="num" w:pos="720"/>
        </w:tabs>
        <w:ind w:left="720" w:hanging="360"/>
      </w:pPr>
      <w:rPr>
        <w:rFonts w:ascii="Arial" w:hAnsi="Arial" w:hint="default"/>
      </w:rPr>
    </w:lvl>
    <w:lvl w:ilvl="1" w:tplc="F41EA7AA" w:tentative="1">
      <w:start w:val="1"/>
      <w:numFmt w:val="bullet"/>
      <w:lvlText w:val="•"/>
      <w:lvlJc w:val="left"/>
      <w:pPr>
        <w:tabs>
          <w:tab w:val="num" w:pos="1440"/>
        </w:tabs>
        <w:ind w:left="1440" w:hanging="360"/>
      </w:pPr>
      <w:rPr>
        <w:rFonts w:ascii="Arial" w:hAnsi="Arial" w:hint="default"/>
      </w:rPr>
    </w:lvl>
    <w:lvl w:ilvl="2" w:tplc="BA221DA8" w:tentative="1">
      <w:start w:val="1"/>
      <w:numFmt w:val="bullet"/>
      <w:lvlText w:val="•"/>
      <w:lvlJc w:val="left"/>
      <w:pPr>
        <w:tabs>
          <w:tab w:val="num" w:pos="2160"/>
        </w:tabs>
        <w:ind w:left="2160" w:hanging="360"/>
      </w:pPr>
      <w:rPr>
        <w:rFonts w:ascii="Arial" w:hAnsi="Arial" w:hint="default"/>
      </w:rPr>
    </w:lvl>
    <w:lvl w:ilvl="3" w:tplc="FD3EFBCE" w:tentative="1">
      <w:start w:val="1"/>
      <w:numFmt w:val="bullet"/>
      <w:lvlText w:val="•"/>
      <w:lvlJc w:val="left"/>
      <w:pPr>
        <w:tabs>
          <w:tab w:val="num" w:pos="2880"/>
        </w:tabs>
        <w:ind w:left="2880" w:hanging="360"/>
      </w:pPr>
      <w:rPr>
        <w:rFonts w:ascii="Arial" w:hAnsi="Arial" w:hint="default"/>
      </w:rPr>
    </w:lvl>
    <w:lvl w:ilvl="4" w:tplc="C21A0C8E" w:tentative="1">
      <w:start w:val="1"/>
      <w:numFmt w:val="bullet"/>
      <w:lvlText w:val="•"/>
      <w:lvlJc w:val="left"/>
      <w:pPr>
        <w:tabs>
          <w:tab w:val="num" w:pos="3600"/>
        </w:tabs>
        <w:ind w:left="3600" w:hanging="360"/>
      </w:pPr>
      <w:rPr>
        <w:rFonts w:ascii="Arial" w:hAnsi="Arial" w:hint="default"/>
      </w:rPr>
    </w:lvl>
    <w:lvl w:ilvl="5" w:tplc="19F2BB8E" w:tentative="1">
      <w:start w:val="1"/>
      <w:numFmt w:val="bullet"/>
      <w:lvlText w:val="•"/>
      <w:lvlJc w:val="left"/>
      <w:pPr>
        <w:tabs>
          <w:tab w:val="num" w:pos="4320"/>
        </w:tabs>
        <w:ind w:left="4320" w:hanging="360"/>
      </w:pPr>
      <w:rPr>
        <w:rFonts w:ascii="Arial" w:hAnsi="Arial" w:hint="default"/>
      </w:rPr>
    </w:lvl>
    <w:lvl w:ilvl="6" w:tplc="D9F40F3E" w:tentative="1">
      <w:start w:val="1"/>
      <w:numFmt w:val="bullet"/>
      <w:lvlText w:val="•"/>
      <w:lvlJc w:val="left"/>
      <w:pPr>
        <w:tabs>
          <w:tab w:val="num" w:pos="5040"/>
        </w:tabs>
        <w:ind w:left="5040" w:hanging="360"/>
      </w:pPr>
      <w:rPr>
        <w:rFonts w:ascii="Arial" w:hAnsi="Arial" w:hint="default"/>
      </w:rPr>
    </w:lvl>
    <w:lvl w:ilvl="7" w:tplc="FCC237C2" w:tentative="1">
      <w:start w:val="1"/>
      <w:numFmt w:val="bullet"/>
      <w:lvlText w:val="•"/>
      <w:lvlJc w:val="left"/>
      <w:pPr>
        <w:tabs>
          <w:tab w:val="num" w:pos="5760"/>
        </w:tabs>
        <w:ind w:left="5760" w:hanging="360"/>
      </w:pPr>
      <w:rPr>
        <w:rFonts w:ascii="Arial" w:hAnsi="Arial" w:hint="default"/>
      </w:rPr>
    </w:lvl>
    <w:lvl w:ilvl="8" w:tplc="9F1C84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F35E9F"/>
    <w:multiLevelType w:val="hybridMultilevel"/>
    <w:tmpl w:val="AAAE7A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DB13164"/>
    <w:multiLevelType w:val="hybridMultilevel"/>
    <w:tmpl w:val="F83CE152"/>
    <w:lvl w:ilvl="0" w:tplc="CCF437FE">
      <w:start w:val="1"/>
      <w:numFmt w:val="bullet"/>
      <w:lvlText w:val="•"/>
      <w:lvlJc w:val="left"/>
      <w:pPr>
        <w:tabs>
          <w:tab w:val="num" w:pos="720"/>
        </w:tabs>
        <w:ind w:left="720" w:hanging="360"/>
      </w:pPr>
      <w:rPr>
        <w:rFonts w:ascii="Arial" w:hAnsi="Arial" w:hint="default"/>
      </w:rPr>
    </w:lvl>
    <w:lvl w:ilvl="1" w:tplc="5B982FC6" w:tentative="1">
      <w:start w:val="1"/>
      <w:numFmt w:val="bullet"/>
      <w:lvlText w:val="•"/>
      <w:lvlJc w:val="left"/>
      <w:pPr>
        <w:tabs>
          <w:tab w:val="num" w:pos="1440"/>
        </w:tabs>
        <w:ind w:left="1440" w:hanging="360"/>
      </w:pPr>
      <w:rPr>
        <w:rFonts w:ascii="Arial" w:hAnsi="Arial" w:hint="default"/>
      </w:rPr>
    </w:lvl>
    <w:lvl w:ilvl="2" w:tplc="1B6422A8" w:tentative="1">
      <w:start w:val="1"/>
      <w:numFmt w:val="bullet"/>
      <w:lvlText w:val="•"/>
      <w:lvlJc w:val="left"/>
      <w:pPr>
        <w:tabs>
          <w:tab w:val="num" w:pos="2160"/>
        </w:tabs>
        <w:ind w:left="2160" w:hanging="360"/>
      </w:pPr>
      <w:rPr>
        <w:rFonts w:ascii="Arial" w:hAnsi="Arial" w:hint="default"/>
      </w:rPr>
    </w:lvl>
    <w:lvl w:ilvl="3" w:tplc="11C65FA2" w:tentative="1">
      <w:start w:val="1"/>
      <w:numFmt w:val="bullet"/>
      <w:lvlText w:val="•"/>
      <w:lvlJc w:val="left"/>
      <w:pPr>
        <w:tabs>
          <w:tab w:val="num" w:pos="2880"/>
        </w:tabs>
        <w:ind w:left="2880" w:hanging="360"/>
      </w:pPr>
      <w:rPr>
        <w:rFonts w:ascii="Arial" w:hAnsi="Arial" w:hint="default"/>
      </w:rPr>
    </w:lvl>
    <w:lvl w:ilvl="4" w:tplc="4C0249A8" w:tentative="1">
      <w:start w:val="1"/>
      <w:numFmt w:val="bullet"/>
      <w:lvlText w:val="•"/>
      <w:lvlJc w:val="left"/>
      <w:pPr>
        <w:tabs>
          <w:tab w:val="num" w:pos="3600"/>
        </w:tabs>
        <w:ind w:left="3600" w:hanging="360"/>
      </w:pPr>
      <w:rPr>
        <w:rFonts w:ascii="Arial" w:hAnsi="Arial" w:hint="default"/>
      </w:rPr>
    </w:lvl>
    <w:lvl w:ilvl="5" w:tplc="0B6C83FE" w:tentative="1">
      <w:start w:val="1"/>
      <w:numFmt w:val="bullet"/>
      <w:lvlText w:val="•"/>
      <w:lvlJc w:val="left"/>
      <w:pPr>
        <w:tabs>
          <w:tab w:val="num" w:pos="4320"/>
        </w:tabs>
        <w:ind w:left="4320" w:hanging="360"/>
      </w:pPr>
      <w:rPr>
        <w:rFonts w:ascii="Arial" w:hAnsi="Arial" w:hint="default"/>
      </w:rPr>
    </w:lvl>
    <w:lvl w:ilvl="6" w:tplc="13727896" w:tentative="1">
      <w:start w:val="1"/>
      <w:numFmt w:val="bullet"/>
      <w:lvlText w:val="•"/>
      <w:lvlJc w:val="left"/>
      <w:pPr>
        <w:tabs>
          <w:tab w:val="num" w:pos="5040"/>
        </w:tabs>
        <w:ind w:left="5040" w:hanging="360"/>
      </w:pPr>
      <w:rPr>
        <w:rFonts w:ascii="Arial" w:hAnsi="Arial" w:hint="default"/>
      </w:rPr>
    </w:lvl>
    <w:lvl w:ilvl="7" w:tplc="AC2A4402" w:tentative="1">
      <w:start w:val="1"/>
      <w:numFmt w:val="bullet"/>
      <w:lvlText w:val="•"/>
      <w:lvlJc w:val="left"/>
      <w:pPr>
        <w:tabs>
          <w:tab w:val="num" w:pos="5760"/>
        </w:tabs>
        <w:ind w:left="5760" w:hanging="360"/>
      </w:pPr>
      <w:rPr>
        <w:rFonts w:ascii="Arial" w:hAnsi="Arial" w:hint="default"/>
      </w:rPr>
    </w:lvl>
    <w:lvl w:ilvl="8" w:tplc="7722C24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AF"/>
    <w:rsid w:val="00031BC4"/>
    <w:rsid w:val="000575AC"/>
    <w:rsid w:val="00174878"/>
    <w:rsid w:val="002505F8"/>
    <w:rsid w:val="002F6464"/>
    <w:rsid w:val="0043602F"/>
    <w:rsid w:val="0058576B"/>
    <w:rsid w:val="0066512B"/>
    <w:rsid w:val="006F7B25"/>
    <w:rsid w:val="0090408F"/>
    <w:rsid w:val="00994251"/>
    <w:rsid w:val="00B3475E"/>
    <w:rsid w:val="00C35CDD"/>
    <w:rsid w:val="00C91D8B"/>
    <w:rsid w:val="00F53D26"/>
    <w:rsid w:val="00FE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E6D6"/>
  <w15:chartTrackingRefBased/>
  <w15:docId w15:val="{AFDDFCC7-2A4C-4877-BD69-9BAABA47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0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40A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FE4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29249">
      <w:bodyDiv w:val="1"/>
      <w:marLeft w:val="0"/>
      <w:marRight w:val="0"/>
      <w:marTop w:val="0"/>
      <w:marBottom w:val="0"/>
      <w:divBdr>
        <w:top w:val="none" w:sz="0" w:space="0" w:color="auto"/>
        <w:left w:val="none" w:sz="0" w:space="0" w:color="auto"/>
        <w:bottom w:val="none" w:sz="0" w:space="0" w:color="auto"/>
        <w:right w:val="none" w:sz="0" w:space="0" w:color="auto"/>
      </w:divBdr>
      <w:divsChild>
        <w:div w:id="58721964">
          <w:marLeft w:val="446"/>
          <w:marRight w:val="0"/>
          <w:marTop w:val="200"/>
          <w:marBottom w:val="0"/>
          <w:divBdr>
            <w:top w:val="none" w:sz="0" w:space="0" w:color="auto"/>
            <w:left w:val="none" w:sz="0" w:space="0" w:color="auto"/>
            <w:bottom w:val="none" w:sz="0" w:space="0" w:color="auto"/>
            <w:right w:val="none" w:sz="0" w:space="0" w:color="auto"/>
          </w:divBdr>
        </w:div>
        <w:div w:id="2146773282">
          <w:marLeft w:val="446"/>
          <w:marRight w:val="0"/>
          <w:marTop w:val="200"/>
          <w:marBottom w:val="0"/>
          <w:divBdr>
            <w:top w:val="none" w:sz="0" w:space="0" w:color="auto"/>
            <w:left w:val="none" w:sz="0" w:space="0" w:color="auto"/>
            <w:bottom w:val="none" w:sz="0" w:space="0" w:color="auto"/>
            <w:right w:val="none" w:sz="0" w:space="0" w:color="auto"/>
          </w:divBdr>
        </w:div>
      </w:divsChild>
    </w:div>
    <w:div w:id="1226452210">
      <w:bodyDiv w:val="1"/>
      <w:marLeft w:val="0"/>
      <w:marRight w:val="0"/>
      <w:marTop w:val="0"/>
      <w:marBottom w:val="0"/>
      <w:divBdr>
        <w:top w:val="none" w:sz="0" w:space="0" w:color="auto"/>
        <w:left w:val="none" w:sz="0" w:space="0" w:color="auto"/>
        <w:bottom w:val="none" w:sz="0" w:space="0" w:color="auto"/>
        <w:right w:val="none" w:sz="0" w:space="0" w:color="auto"/>
      </w:divBdr>
    </w:div>
    <w:div w:id="2010062010">
      <w:bodyDiv w:val="1"/>
      <w:marLeft w:val="0"/>
      <w:marRight w:val="0"/>
      <w:marTop w:val="0"/>
      <w:marBottom w:val="0"/>
      <w:divBdr>
        <w:top w:val="none" w:sz="0" w:space="0" w:color="auto"/>
        <w:left w:val="none" w:sz="0" w:space="0" w:color="auto"/>
        <w:bottom w:val="none" w:sz="0" w:space="0" w:color="auto"/>
        <w:right w:val="none" w:sz="0" w:space="0" w:color="auto"/>
      </w:divBdr>
      <w:divsChild>
        <w:div w:id="2013800824">
          <w:marLeft w:val="360"/>
          <w:marRight w:val="0"/>
          <w:marTop w:val="200"/>
          <w:marBottom w:val="0"/>
          <w:divBdr>
            <w:top w:val="none" w:sz="0" w:space="0" w:color="auto"/>
            <w:left w:val="none" w:sz="0" w:space="0" w:color="auto"/>
            <w:bottom w:val="none" w:sz="0" w:space="0" w:color="auto"/>
            <w:right w:val="none" w:sz="0" w:space="0" w:color="auto"/>
          </w:divBdr>
        </w:div>
        <w:div w:id="1865290198">
          <w:marLeft w:val="360"/>
          <w:marRight w:val="0"/>
          <w:marTop w:val="200"/>
          <w:marBottom w:val="0"/>
          <w:divBdr>
            <w:top w:val="none" w:sz="0" w:space="0" w:color="auto"/>
            <w:left w:val="none" w:sz="0" w:space="0" w:color="auto"/>
            <w:bottom w:val="none" w:sz="0" w:space="0" w:color="auto"/>
            <w:right w:val="none" w:sz="0" w:space="0" w:color="auto"/>
          </w:divBdr>
        </w:div>
        <w:div w:id="20936963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Celisa K.</dc:creator>
  <cp:keywords/>
  <dc:description/>
  <cp:lastModifiedBy>Stacie Bolen</cp:lastModifiedBy>
  <cp:revision>2</cp:revision>
  <cp:lastPrinted>2020-08-28T20:12:00Z</cp:lastPrinted>
  <dcterms:created xsi:type="dcterms:W3CDTF">2020-10-20T17:35:00Z</dcterms:created>
  <dcterms:modified xsi:type="dcterms:W3CDTF">2020-10-20T17:35:00Z</dcterms:modified>
</cp:coreProperties>
</file>